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F913" w14:textId="77777777" w:rsidR="00380464" w:rsidRDefault="00380464" w:rsidP="0080446B">
      <w:pPr>
        <w:pStyle w:val="ListParagraph"/>
        <w:numPr>
          <w:ilvl w:val="0"/>
          <w:numId w:val="1"/>
        </w:numPr>
        <w:tabs>
          <w:tab w:val="left" w:pos="567"/>
        </w:tabs>
        <w:spacing w:before="240"/>
        <w:ind w:left="567" w:right="6" w:hanging="567"/>
      </w:pPr>
      <w:r>
        <w:rPr>
          <w:spacing w:val="-4"/>
        </w:rPr>
        <w:t>Queensland’s</w:t>
      </w:r>
      <w:r>
        <w:rPr>
          <w:spacing w:val="-14"/>
        </w:rPr>
        <w:t xml:space="preserve"> </w:t>
      </w:r>
      <w:r>
        <w:rPr>
          <w:spacing w:val="-4"/>
        </w:rPr>
        <w:t>protected</w:t>
      </w:r>
      <w:r>
        <w:rPr>
          <w:spacing w:val="-15"/>
        </w:rPr>
        <w:t xml:space="preserve"> </w:t>
      </w:r>
      <w:r>
        <w:rPr>
          <w:spacing w:val="-4"/>
        </w:rPr>
        <w:t>areas</w:t>
      </w:r>
      <w:r>
        <w:rPr>
          <w:spacing w:val="-13"/>
        </w:rPr>
        <w:t xml:space="preserve"> </w:t>
      </w:r>
      <w:r>
        <w:rPr>
          <w:spacing w:val="-3"/>
        </w:rPr>
        <w:t>cover</w:t>
      </w:r>
      <w:r>
        <w:rPr>
          <w:spacing w:val="-13"/>
        </w:rPr>
        <w:t xml:space="preserve"> </w:t>
      </w:r>
      <w:r>
        <w:rPr>
          <w:spacing w:val="-3"/>
        </w:rPr>
        <w:t>over</w:t>
      </w:r>
      <w:r>
        <w:rPr>
          <w:spacing w:val="-14"/>
        </w:rPr>
        <w:t xml:space="preserve"> </w:t>
      </w:r>
      <w:r>
        <w:rPr>
          <w:spacing w:val="-3"/>
        </w:rPr>
        <w:t>14</w:t>
      </w:r>
      <w:r>
        <w:rPr>
          <w:spacing w:val="-15"/>
        </w:rPr>
        <w:t xml:space="preserve"> </w:t>
      </w:r>
      <w:r>
        <w:rPr>
          <w:spacing w:val="-3"/>
        </w:rPr>
        <w:t>million</w:t>
      </w:r>
      <w:r>
        <w:rPr>
          <w:spacing w:val="-17"/>
        </w:rPr>
        <w:t xml:space="preserve"> </w:t>
      </w:r>
      <w:r>
        <w:rPr>
          <w:spacing w:val="-4"/>
        </w:rPr>
        <w:t>hectares.</w:t>
      </w:r>
      <w:r>
        <w:rPr>
          <w:spacing w:val="-15"/>
        </w:rPr>
        <w:t xml:space="preserve"> </w:t>
      </w:r>
      <w:r>
        <w:rPr>
          <w:spacing w:val="-3"/>
        </w:rPr>
        <w:t>This</w:t>
      </w:r>
      <w:r>
        <w:rPr>
          <w:spacing w:val="-11"/>
        </w:rPr>
        <w:t xml:space="preserve"> </w:t>
      </w:r>
      <w:r>
        <w:t>is</w:t>
      </w:r>
      <w:r>
        <w:rPr>
          <w:spacing w:val="-14"/>
        </w:rPr>
        <w:t xml:space="preserve"> </w:t>
      </w:r>
      <w:r>
        <w:rPr>
          <w:spacing w:val="-4"/>
        </w:rPr>
        <w:t>comprised</w:t>
      </w:r>
      <w:r>
        <w:rPr>
          <w:spacing w:val="-12"/>
        </w:rPr>
        <w:t xml:space="preserve"> </w:t>
      </w:r>
      <w:r>
        <w:rPr>
          <w:spacing w:val="-3"/>
        </w:rPr>
        <w:t>of</w:t>
      </w:r>
      <w:r>
        <w:rPr>
          <w:spacing w:val="-12"/>
        </w:rPr>
        <w:t xml:space="preserve"> </w:t>
      </w:r>
      <w:r>
        <w:rPr>
          <w:spacing w:val="-3"/>
        </w:rPr>
        <w:t>69%</w:t>
      </w:r>
      <w:r>
        <w:rPr>
          <w:spacing w:val="-12"/>
        </w:rPr>
        <w:t xml:space="preserve"> </w:t>
      </w:r>
      <w:r>
        <w:rPr>
          <w:spacing w:val="-4"/>
        </w:rPr>
        <w:t xml:space="preserve">public protected </w:t>
      </w:r>
      <w:r>
        <w:rPr>
          <w:spacing w:val="-3"/>
        </w:rPr>
        <w:t xml:space="preserve">areas </w:t>
      </w:r>
      <w:r>
        <w:rPr>
          <w:spacing w:val="-4"/>
        </w:rPr>
        <w:t xml:space="preserve">(such </w:t>
      </w:r>
      <w:r>
        <w:t xml:space="preserve">as </w:t>
      </w:r>
      <w:r>
        <w:rPr>
          <w:spacing w:val="-3"/>
        </w:rPr>
        <w:t xml:space="preserve">national </w:t>
      </w:r>
      <w:r>
        <w:rPr>
          <w:spacing w:val="-4"/>
        </w:rPr>
        <w:t xml:space="preserve">parks) </w:t>
      </w:r>
      <w:r>
        <w:rPr>
          <w:spacing w:val="-3"/>
        </w:rPr>
        <w:t xml:space="preserve">and 31% </w:t>
      </w:r>
      <w:r>
        <w:rPr>
          <w:spacing w:val="-4"/>
        </w:rPr>
        <w:t xml:space="preserve">private </w:t>
      </w:r>
      <w:r>
        <w:rPr>
          <w:spacing w:val="-3"/>
        </w:rPr>
        <w:t xml:space="preserve">protected </w:t>
      </w:r>
      <w:r>
        <w:rPr>
          <w:spacing w:val="-4"/>
        </w:rPr>
        <w:t xml:space="preserve">areas </w:t>
      </w:r>
      <w:r>
        <w:rPr>
          <w:spacing w:val="-3"/>
        </w:rPr>
        <w:t xml:space="preserve">(such </w:t>
      </w:r>
      <w:r>
        <w:t xml:space="preserve">as </w:t>
      </w:r>
      <w:r>
        <w:rPr>
          <w:spacing w:val="-4"/>
        </w:rPr>
        <w:t>nature refuges).</w:t>
      </w:r>
      <w:r>
        <w:rPr>
          <w:spacing w:val="-13"/>
        </w:rPr>
        <w:t xml:space="preserve"> </w:t>
      </w:r>
      <w:r>
        <w:rPr>
          <w:spacing w:val="-3"/>
        </w:rPr>
        <w:t>These</w:t>
      </w:r>
      <w:r>
        <w:rPr>
          <w:spacing w:val="-10"/>
        </w:rPr>
        <w:t xml:space="preserve"> </w:t>
      </w:r>
      <w:r>
        <w:rPr>
          <w:spacing w:val="-4"/>
        </w:rPr>
        <w:t>areas</w:t>
      </w:r>
      <w:r>
        <w:rPr>
          <w:spacing w:val="-11"/>
        </w:rPr>
        <w:t xml:space="preserve"> </w:t>
      </w:r>
      <w:r>
        <w:rPr>
          <w:spacing w:val="-3"/>
        </w:rPr>
        <w:t>are</w:t>
      </w:r>
      <w:r>
        <w:rPr>
          <w:spacing w:val="-15"/>
        </w:rPr>
        <w:t xml:space="preserve"> </w:t>
      </w:r>
      <w:r>
        <w:rPr>
          <w:spacing w:val="-3"/>
        </w:rPr>
        <w:t>managed</w:t>
      </w:r>
      <w:r>
        <w:rPr>
          <w:spacing w:val="-14"/>
        </w:rPr>
        <w:t xml:space="preserve"> </w:t>
      </w:r>
      <w:r>
        <w:rPr>
          <w:spacing w:val="-3"/>
        </w:rPr>
        <w:t>for</w:t>
      </w:r>
      <w:r>
        <w:rPr>
          <w:spacing w:val="-10"/>
        </w:rPr>
        <w:t xml:space="preserve"> </w:t>
      </w:r>
      <w:r>
        <w:rPr>
          <w:spacing w:val="-4"/>
        </w:rPr>
        <w:t>nature</w:t>
      </w:r>
      <w:r>
        <w:rPr>
          <w:spacing w:val="-11"/>
        </w:rPr>
        <w:t xml:space="preserve"> </w:t>
      </w:r>
      <w:r>
        <w:t>or</w:t>
      </w:r>
      <w:r>
        <w:rPr>
          <w:spacing w:val="-13"/>
        </w:rPr>
        <w:t xml:space="preserve"> </w:t>
      </w:r>
      <w:r>
        <w:rPr>
          <w:spacing w:val="-4"/>
        </w:rPr>
        <w:t>heritage</w:t>
      </w:r>
      <w:r>
        <w:rPr>
          <w:spacing w:val="-11"/>
        </w:rPr>
        <w:t xml:space="preserve"> </w:t>
      </w:r>
      <w:r>
        <w:rPr>
          <w:spacing w:val="-4"/>
        </w:rPr>
        <w:t>conservation</w:t>
      </w:r>
      <w:r>
        <w:rPr>
          <w:spacing w:val="-10"/>
        </w:rPr>
        <w:t xml:space="preserve"> </w:t>
      </w:r>
      <w:r>
        <w:rPr>
          <w:spacing w:val="-4"/>
        </w:rPr>
        <w:t>purposes</w:t>
      </w:r>
      <w:r>
        <w:rPr>
          <w:spacing w:val="-11"/>
        </w:rPr>
        <w:t xml:space="preserve"> </w:t>
      </w:r>
      <w:r>
        <w:rPr>
          <w:spacing w:val="-3"/>
        </w:rPr>
        <w:t>and</w:t>
      </w:r>
      <w:r>
        <w:rPr>
          <w:spacing w:val="-11"/>
        </w:rPr>
        <w:t xml:space="preserve"> </w:t>
      </w:r>
      <w:r>
        <w:rPr>
          <w:spacing w:val="-4"/>
        </w:rPr>
        <w:t xml:space="preserve">receive </w:t>
      </w:r>
      <w:r>
        <w:rPr>
          <w:spacing w:val="-3"/>
        </w:rPr>
        <w:t xml:space="preserve">formal </w:t>
      </w:r>
      <w:r>
        <w:rPr>
          <w:spacing w:val="-4"/>
        </w:rPr>
        <w:t xml:space="preserve">protection </w:t>
      </w:r>
      <w:r>
        <w:rPr>
          <w:spacing w:val="-3"/>
        </w:rPr>
        <w:t xml:space="preserve">under the </w:t>
      </w:r>
      <w:r>
        <w:rPr>
          <w:i/>
          <w:spacing w:val="-4"/>
        </w:rPr>
        <w:t xml:space="preserve">Nature Conservation </w:t>
      </w:r>
      <w:r>
        <w:rPr>
          <w:i/>
          <w:spacing w:val="-3"/>
        </w:rPr>
        <w:t>Act</w:t>
      </w:r>
      <w:r>
        <w:rPr>
          <w:i/>
          <w:spacing w:val="-23"/>
        </w:rPr>
        <w:t xml:space="preserve"> </w:t>
      </w:r>
      <w:r>
        <w:rPr>
          <w:i/>
          <w:spacing w:val="-3"/>
        </w:rPr>
        <w:t>1992</w:t>
      </w:r>
      <w:r>
        <w:rPr>
          <w:spacing w:val="-3"/>
        </w:rPr>
        <w:t>.</w:t>
      </w:r>
    </w:p>
    <w:p w14:paraId="7C3CA384" w14:textId="7E8568F4" w:rsidR="00380464" w:rsidRDefault="00380464" w:rsidP="0080446B">
      <w:pPr>
        <w:pStyle w:val="ListParagraph"/>
        <w:numPr>
          <w:ilvl w:val="0"/>
          <w:numId w:val="1"/>
        </w:numPr>
        <w:tabs>
          <w:tab w:val="left" w:pos="567"/>
        </w:tabs>
        <w:spacing w:before="240"/>
        <w:ind w:left="567" w:right="6" w:hanging="567"/>
      </w:pPr>
      <w:r>
        <w:t xml:space="preserve">The </w:t>
      </w:r>
      <w:r>
        <w:rPr>
          <w:spacing w:val="-4"/>
        </w:rPr>
        <w:t xml:space="preserve">Queensland Government </w:t>
      </w:r>
      <w:r>
        <w:t xml:space="preserve">has </w:t>
      </w:r>
      <w:r>
        <w:rPr>
          <w:spacing w:val="-4"/>
        </w:rPr>
        <w:t xml:space="preserve">committed </w:t>
      </w:r>
      <w:r>
        <w:t xml:space="preserve">to </w:t>
      </w:r>
      <w:r>
        <w:rPr>
          <w:spacing w:val="-4"/>
        </w:rPr>
        <w:t xml:space="preserve">securing </w:t>
      </w:r>
      <w:r>
        <w:rPr>
          <w:spacing w:val="-3"/>
        </w:rPr>
        <w:t xml:space="preserve">and </w:t>
      </w:r>
      <w:r>
        <w:rPr>
          <w:spacing w:val="-4"/>
        </w:rPr>
        <w:t xml:space="preserve">conserving representative </w:t>
      </w:r>
      <w:r>
        <w:rPr>
          <w:spacing w:val="-3"/>
        </w:rPr>
        <w:t>samples</w:t>
      </w:r>
      <w:r>
        <w:rPr>
          <w:spacing w:val="-11"/>
        </w:rPr>
        <w:t xml:space="preserve"> </w:t>
      </w:r>
      <w:r>
        <w:rPr>
          <w:spacing w:val="-3"/>
        </w:rPr>
        <w:t>of</w:t>
      </w:r>
      <w:r>
        <w:rPr>
          <w:spacing w:val="-8"/>
        </w:rPr>
        <w:t xml:space="preserve"> </w:t>
      </w:r>
      <w:r>
        <w:rPr>
          <w:spacing w:val="-4"/>
        </w:rPr>
        <w:t>Queensland’s</w:t>
      </w:r>
      <w:r>
        <w:rPr>
          <w:spacing w:val="-10"/>
        </w:rPr>
        <w:t xml:space="preserve"> </w:t>
      </w:r>
      <w:r>
        <w:rPr>
          <w:spacing w:val="-4"/>
        </w:rPr>
        <w:t>biodiversity</w:t>
      </w:r>
      <w:r>
        <w:rPr>
          <w:spacing w:val="-9"/>
        </w:rPr>
        <w:t xml:space="preserve"> </w:t>
      </w:r>
      <w:r>
        <w:rPr>
          <w:spacing w:val="-3"/>
        </w:rPr>
        <w:t>in</w:t>
      </w:r>
      <w:r>
        <w:rPr>
          <w:spacing w:val="-8"/>
        </w:rPr>
        <w:t xml:space="preserve"> </w:t>
      </w:r>
      <w:r>
        <w:rPr>
          <w:spacing w:val="-4"/>
        </w:rPr>
        <w:t>protected</w:t>
      </w:r>
      <w:r>
        <w:rPr>
          <w:spacing w:val="-9"/>
        </w:rPr>
        <w:t xml:space="preserve"> </w:t>
      </w:r>
      <w:r>
        <w:rPr>
          <w:spacing w:val="-4"/>
        </w:rPr>
        <w:t>areas</w:t>
      </w:r>
      <w:r>
        <w:rPr>
          <w:spacing w:val="-9"/>
        </w:rPr>
        <w:t xml:space="preserve"> </w:t>
      </w:r>
      <w:r>
        <w:t>and</w:t>
      </w:r>
      <w:r>
        <w:rPr>
          <w:spacing w:val="-11"/>
        </w:rPr>
        <w:t xml:space="preserve"> </w:t>
      </w:r>
      <w:r w:rsidR="0080446B">
        <w:rPr>
          <w:spacing w:val="-11"/>
        </w:rPr>
        <w:t xml:space="preserve">to </w:t>
      </w:r>
      <w:r>
        <w:rPr>
          <w:spacing w:val="-4"/>
        </w:rPr>
        <w:t>expanding</w:t>
      </w:r>
      <w:r>
        <w:rPr>
          <w:spacing w:val="-8"/>
        </w:rPr>
        <w:t xml:space="preserve"> </w:t>
      </w:r>
      <w:r>
        <w:rPr>
          <w:spacing w:val="-3"/>
        </w:rPr>
        <w:t>the</w:t>
      </w:r>
      <w:r>
        <w:rPr>
          <w:spacing w:val="-9"/>
        </w:rPr>
        <w:t xml:space="preserve"> </w:t>
      </w:r>
      <w:r>
        <w:rPr>
          <w:spacing w:val="-4"/>
        </w:rPr>
        <w:t>overall</w:t>
      </w:r>
      <w:r>
        <w:rPr>
          <w:spacing w:val="-9"/>
        </w:rPr>
        <w:t xml:space="preserve"> </w:t>
      </w:r>
      <w:r>
        <w:rPr>
          <w:spacing w:val="-4"/>
        </w:rPr>
        <w:t xml:space="preserve">protected </w:t>
      </w:r>
      <w:r>
        <w:rPr>
          <w:spacing w:val="-3"/>
        </w:rPr>
        <w:t xml:space="preserve">area </w:t>
      </w:r>
      <w:r>
        <w:rPr>
          <w:spacing w:val="-4"/>
        </w:rPr>
        <w:t xml:space="preserve">system </w:t>
      </w:r>
      <w:r>
        <w:rPr>
          <w:spacing w:val="-3"/>
        </w:rPr>
        <w:t xml:space="preserve">(both </w:t>
      </w:r>
      <w:r>
        <w:rPr>
          <w:spacing w:val="-4"/>
        </w:rPr>
        <w:t xml:space="preserve">privately </w:t>
      </w:r>
      <w:r>
        <w:t xml:space="preserve">and </w:t>
      </w:r>
      <w:r>
        <w:rPr>
          <w:spacing w:val="-4"/>
        </w:rPr>
        <w:t xml:space="preserve">publicly </w:t>
      </w:r>
      <w:r>
        <w:rPr>
          <w:spacing w:val="-3"/>
        </w:rPr>
        <w:t xml:space="preserve">owned </w:t>
      </w:r>
      <w:r>
        <w:rPr>
          <w:spacing w:val="-4"/>
        </w:rPr>
        <w:t xml:space="preserve">areas) </w:t>
      </w:r>
      <w:r>
        <w:t xml:space="preserve">in </w:t>
      </w:r>
      <w:r>
        <w:rPr>
          <w:spacing w:val="-3"/>
        </w:rPr>
        <w:t xml:space="preserve">line with </w:t>
      </w:r>
      <w:r>
        <w:rPr>
          <w:spacing w:val="-4"/>
        </w:rPr>
        <w:t xml:space="preserve">targets </w:t>
      </w:r>
      <w:r>
        <w:t xml:space="preserve">set </w:t>
      </w:r>
      <w:r>
        <w:rPr>
          <w:spacing w:val="-4"/>
        </w:rPr>
        <w:t xml:space="preserve">through the United Nations Convention </w:t>
      </w:r>
      <w:r>
        <w:rPr>
          <w:spacing w:val="-3"/>
        </w:rPr>
        <w:t xml:space="preserve">on </w:t>
      </w:r>
      <w:r>
        <w:rPr>
          <w:spacing w:val="-4"/>
        </w:rPr>
        <w:t xml:space="preserve">Biological Diversity, </w:t>
      </w:r>
      <w:r>
        <w:t xml:space="preserve">to </w:t>
      </w:r>
      <w:r>
        <w:rPr>
          <w:spacing w:val="-4"/>
        </w:rPr>
        <w:t xml:space="preserve">which Australia </w:t>
      </w:r>
      <w:r>
        <w:t>is a</w:t>
      </w:r>
      <w:r>
        <w:rPr>
          <w:spacing w:val="-8"/>
        </w:rPr>
        <w:t xml:space="preserve"> </w:t>
      </w:r>
      <w:r>
        <w:rPr>
          <w:spacing w:val="-4"/>
        </w:rPr>
        <w:t>signatory.</w:t>
      </w:r>
    </w:p>
    <w:p w14:paraId="3FC11D50" w14:textId="2899F2DF" w:rsidR="00380464" w:rsidRPr="000D4EF7" w:rsidRDefault="00380464" w:rsidP="0080446B">
      <w:pPr>
        <w:pStyle w:val="ListParagraph"/>
        <w:numPr>
          <w:ilvl w:val="0"/>
          <w:numId w:val="1"/>
        </w:numPr>
        <w:tabs>
          <w:tab w:val="left" w:pos="567"/>
        </w:tabs>
        <w:spacing w:before="240"/>
        <w:ind w:left="567" w:right="6" w:hanging="567"/>
      </w:pPr>
      <w:r>
        <w:t>The</w:t>
      </w:r>
      <w:r>
        <w:rPr>
          <w:spacing w:val="-11"/>
        </w:rPr>
        <w:t xml:space="preserve"> </w:t>
      </w:r>
      <w:r>
        <w:rPr>
          <w:spacing w:val="-4"/>
        </w:rPr>
        <w:t>Queensland</w:t>
      </w:r>
      <w:r>
        <w:rPr>
          <w:spacing w:val="-9"/>
        </w:rPr>
        <w:t xml:space="preserve"> </w:t>
      </w:r>
      <w:r>
        <w:rPr>
          <w:spacing w:val="-4"/>
        </w:rPr>
        <w:t>Government</w:t>
      </w:r>
      <w:r>
        <w:rPr>
          <w:spacing w:val="-7"/>
        </w:rPr>
        <w:t xml:space="preserve"> </w:t>
      </w:r>
      <w:r>
        <w:rPr>
          <w:spacing w:val="-3"/>
        </w:rPr>
        <w:t>has</w:t>
      </w:r>
      <w:r>
        <w:rPr>
          <w:spacing w:val="-9"/>
        </w:rPr>
        <w:t xml:space="preserve"> </w:t>
      </w:r>
      <w:r>
        <w:rPr>
          <w:spacing w:val="-4"/>
        </w:rPr>
        <w:t>developed</w:t>
      </w:r>
      <w:r>
        <w:rPr>
          <w:spacing w:val="-9"/>
        </w:rPr>
        <w:t xml:space="preserve"> </w:t>
      </w:r>
      <w:r>
        <w:t>the</w:t>
      </w:r>
      <w:r>
        <w:rPr>
          <w:spacing w:val="-11"/>
        </w:rPr>
        <w:t xml:space="preserve"> </w:t>
      </w:r>
      <w:r>
        <w:rPr>
          <w:i/>
          <w:spacing w:val="-4"/>
        </w:rPr>
        <w:t>Queensland’s</w:t>
      </w:r>
      <w:r>
        <w:rPr>
          <w:i/>
          <w:spacing w:val="-9"/>
        </w:rPr>
        <w:t xml:space="preserve"> </w:t>
      </w:r>
      <w:r>
        <w:rPr>
          <w:i/>
          <w:spacing w:val="-4"/>
        </w:rPr>
        <w:t>Protected</w:t>
      </w:r>
      <w:r>
        <w:rPr>
          <w:i/>
          <w:spacing w:val="-8"/>
        </w:rPr>
        <w:t xml:space="preserve"> </w:t>
      </w:r>
      <w:r>
        <w:rPr>
          <w:i/>
          <w:spacing w:val="-3"/>
        </w:rPr>
        <w:t>Area</w:t>
      </w:r>
      <w:r>
        <w:rPr>
          <w:i/>
          <w:spacing w:val="-7"/>
        </w:rPr>
        <w:t xml:space="preserve"> </w:t>
      </w:r>
      <w:r>
        <w:rPr>
          <w:i/>
          <w:spacing w:val="-4"/>
        </w:rPr>
        <w:t>Strategy</w:t>
      </w:r>
      <w:r>
        <w:rPr>
          <w:i/>
          <w:spacing w:val="-8"/>
        </w:rPr>
        <w:t xml:space="preserve"> </w:t>
      </w:r>
      <w:r>
        <w:rPr>
          <w:i/>
          <w:spacing w:val="-4"/>
        </w:rPr>
        <w:t>2020</w:t>
      </w:r>
      <w:r w:rsidR="0080446B">
        <w:rPr>
          <w:i/>
          <w:spacing w:val="-4"/>
        </w:rPr>
        <w:noBreakHyphen/>
      </w:r>
      <w:r>
        <w:rPr>
          <w:i/>
          <w:spacing w:val="-3"/>
        </w:rPr>
        <w:t xml:space="preserve">2030: </w:t>
      </w:r>
      <w:r>
        <w:rPr>
          <w:i/>
          <w:spacing w:val="-4"/>
        </w:rPr>
        <w:t xml:space="preserve">Protecting </w:t>
      </w:r>
      <w:r>
        <w:rPr>
          <w:i/>
          <w:spacing w:val="-3"/>
        </w:rPr>
        <w:t xml:space="preserve">our </w:t>
      </w:r>
      <w:r>
        <w:rPr>
          <w:i/>
          <w:spacing w:val="-4"/>
        </w:rPr>
        <w:t xml:space="preserve">world-class natural </w:t>
      </w:r>
      <w:r>
        <w:rPr>
          <w:i/>
          <w:spacing w:val="-3"/>
        </w:rPr>
        <w:t xml:space="preserve">and </w:t>
      </w:r>
      <w:r>
        <w:rPr>
          <w:i/>
          <w:spacing w:val="-4"/>
        </w:rPr>
        <w:t xml:space="preserve">cultural values </w:t>
      </w:r>
      <w:r>
        <w:t xml:space="preserve">to </w:t>
      </w:r>
      <w:r>
        <w:rPr>
          <w:spacing w:val="-4"/>
        </w:rPr>
        <w:t xml:space="preserve">establish </w:t>
      </w:r>
      <w:r>
        <w:rPr>
          <w:spacing w:val="-3"/>
        </w:rPr>
        <w:t xml:space="preserve">the future </w:t>
      </w:r>
      <w:r>
        <w:rPr>
          <w:spacing w:val="-4"/>
        </w:rPr>
        <w:t xml:space="preserve">strategic direction </w:t>
      </w:r>
      <w:r>
        <w:rPr>
          <w:spacing w:val="-3"/>
        </w:rPr>
        <w:t xml:space="preserve">for </w:t>
      </w:r>
      <w:r>
        <w:rPr>
          <w:spacing w:val="-4"/>
        </w:rPr>
        <w:t xml:space="preserve">Queensland’s terrestrial protected </w:t>
      </w:r>
      <w:r>
        <w:rPr>
          <w:spacing w:val="-3"/>
        </w:rPr>
        <w:t xml:space="preserve">areas, </w:t>
      </w:r>
      <w:r>
        <w:rPr>
          <w:spacing w:val="-4"/>
        </w:rPr>
        <w:t xml:space="preserve">both public </w:t>
      </w:r>
      <w:r>
        <w:t xml:space="preserve">and </w:t>
      </w:r>
      <w:r>
        <w:rPr>
          <w:spacing w:val="-4"/>
        </w:rPr>
        <w:t xml:space="preserve">private, </w:t>
      </w:r>
      <w:r>
        <w:t xml:space="preserve">to </w:t>
      </w:r>
      <w:r>
        <w:rPr>
          <w:spacing w:val="-4"/>
        </w:rPr>
        <w:t xml:space="preserve">deliver sustainable expansion </w:t>
      </w:r>
      <w:r>
        <w:rPr>
          <w:spacing w:val="-3"/>
        </w:rPr>
        <w:t xml:space="preserve">and </w:t>
      </w:r>
      <w:r>
        <w:rPr>
          <w:spacing w:val="-4"/>
        </w:rPr>
        <w:t xml:space="preserve">effective management </w:t>
      </w:r>
      <w:r>
        <w:rPr>
          <w:spacing w:val="-3"/>
        </w:rPr>
        <w:t xml:space="preserve">of </w:t>
      </w:r>
      <w:r>
        <w:rPr>
          <w:spacing w:val="-4"/>
        </w:rPr>
        <w:t xml:space="preserve">Queensland’s protected </w:t>
      </w:r>
      <w:r>
        <w:rPr>
          <w:spacing w:val="-3"/>
        </w:rPr>
        <w:t xml:space="preserve">area </w:t>
      </w:r>
      <w:r>
        <w:rPr>
          <w:spacing w:val="-4"/>
        </w:rPr>
        <w:t xml:space="preserve">system </w:t>
      </w:r>
      <w:r w:rsidRPr="000D4EF7">
        <w:rPr>
          <w:spacing w:val="-3"/>
        </w:rPr>
        <w:t xml:space="preserve">into </w:t>
      </w:r>
      <w:r w:rsidRPr="000D4EF7">
        <w:t>the</w:t>
      </w:r>
      <w:r w:rsidRPr="000D4EF7">
        <w:rPr>
          <w:spacing w:val="-15"/>
        </w:rPr>
        <w:t xml:space="preserve"> </w:t>
      </w:r>
      <w:r w:rsidRPr="000D4EF7">
        <w:rPr>
          <w:spacing w:val="-5"/>
        </w:rPr>
        <w:t>future.</w:t>
      </w:r>
    </w:p>
    <w:p w14:paraId="64D72B8C" w14:textId="77777777" w:rsidR="00380464" w:rsidRPr="008F3F58" w:rsidRDefault="00380464" w:rsidP="0080446B">
      <w:pPr>
        <w:pStyle w:val="ListParagraph"/>
        <w:numPr>
          <w:ilvl w:val="0"/>
          <w:numId w:val="1"/>
        </w:numPr>
        <w:tabs>
          <w:tab w:val="left" w:pos="567"/>
        </w:tabs>
        <w:spacing w:before="240"/>
        <w:ind w:left="567" w:right="6" w:hanging="567"/>
      </w:pPr>
      <w:r w:rsidRPr="008F3F58">
        <w:t xml:space="preserve">The Strategy outlines a vision where Queensland’s protected areas are world-class for people, culture and nature. It lays out a 10-year pathway to build on the State’s existing protected area system, and achieve credible progress in growing and improving management of protected areas, while positioning Queensland to meet the challenges of the future, capitalise on opportunities and respond to the community’s evolving needs and expectations. </w:t>
      </w:r>
    </w:p>
    <w:p w14:paraId="1CC0FBDA" w14:textId="77777777" w:rsidR="00380464" w:rsidRPr="000D4EF7" w:rsidRDefault="00380464" w:rsidP="0080446B">
      <w:pPr>
        <w:pStyle w:val="ListParagraph"/>
        <w:numPr>
          <w:ilvl w:val="0"/>
          <w:numId w:val="1"/>
        </w:numPr>
        <w:tabs>
          <w:tab w:val="left" w:pos="567"/>
        </w:tabs>
        <w:spacing w:before="240"/>
        <w:ind w:left="567" w:right="6" w:hanging="567"/>
      </w:pPr>
      <w:r w:rsidRPr="000D4EF7">
        <w:t xml:space="preserve">The </w:t>
      </w:r>
      <w:r w:rsidRPr="000D4EF7">
        <w:rPr>
          <w:spacing w:val="-4"/>
        </w:rPr>
        <w:t xml:space="preserve">Strategy outlines </w:t>
      </w:r>
      <w:r w:rsidRPr="000D4EF7">
        <w:t xml:space="preserve">key </w:t>
      </w:r>
      <w:r w:rsidRPr="000D4EF7">
        <w:rPr>
          <w:spacing w:val="-4"/>
        </w:rPr>
        <w:t xml:space="preserve">actions arranged under </w:t>
      </w:r>
      <w:r w:rsidRPr="000D4EF7">
        <w:rPr>
          <w:spacing w:val="-3"/>
        </w:rPr>
        <w:t xml:space="preserve">three </w:t>
      </w:r>
      <w:r w:rsidRPr="000D4EF7">
        <w:rPr>
          <w:spacing w:val="-4"/>
        </w:rPr>
        <w:t xml:space="preserve">strategic priority areas </w:t>
      </w:r>
      <w:r w:rsidRPr="000D4EF7">
        <w:t xml:space="preserve">– </w:t>
      </w:r>
      <w:r w:rsidRPr="000D4EF7">
        <w:rPr>
          <w:spacing w:val="-3"/>
        </w:rPr>
        <w:t xml:space="preserve">Grow, </w:t>
      </w:r>
      <w:r w:rsidRPr="000D4EF7">
        <w:rPr>
          <w:spacing w:val="-4"/>
        </w:rPr>
        <w:t>Care and</w:t>
      </w:r>
      <w:r w:rsidRPr="000D4EF7">
        <w:rPr>
          <w:spacing w:val="-20"/>
        </w:rPr>
        <w:t xml:space="preserve"> </w:t>
      </w:r>
      <w:r w:rsidRPr="000D4EF7">
        <w:rPr>
          <w:spacing w:val="-4"/>
        </w:rPr>
        <w:t>Connect.</w:t>
      </w:r>
    </w:p>
    <w:p w14:paraId="09CE4120" w14:textId="77777777" w:rsidR="00380464" w:rsidRPr="000D4EF7" w:rsidRDefault="00380464" w:rsidP="0080446B">
      <w:pPr>
        <w:pStyle w:val="ListParagraph"/>
        <w:numPr>
          <w:ilvl w:val="0"/>
          <w:numId w:val="1"/>
        </w:numPr>
        <w:tabs>
          <w:tab w:val="left" w:pos="567"/>
        </w:tabs>
        <w:spacing w:before="240"/>
        <w:ind w:left="567" w:right="6" w:hanging="567"/>
        <w:rPr>
          <w:i/>
        </w:rPr>
      </w:pPr>
      <w:r w:rsidRPr="000D4EF7">
        <w:rPr>
          <w:spacing w:val="-4"/>
          <w:u w:val="single"/>
        </w:rPr>
        <w:t>Cabinet</w:t>
      </w:r>
      <w:r w:rsidRPr="000D4EF7">
        <w:rPr>
          <w:spacing w:val="-15"/>
          <w:u w:val="single"/>
        </w:rPr>
        <w:t xml:space="preserve"> </w:t>
      </w:r>
      <w:r w:rsidRPr="000D4EF7">
        <w:rPr>
          <w:spacing w:val="-4"/>
          <w:u w:val="single"/>
        </w:rPr>
        <w:t>approved</w:t>
      </w:r>
      <w:r w:rsidRPr="000D4EF7">
        <w:rPr>
          <w:spacing w:val="-14"/>
        </w:rPr>
        <w:t xml:space="preserve"> </w:t>
      </w:r>
      <w:r w:rsidRPr="000D4EF7">
        <w:t>the</w:t>
      </w:r>
      <w:r w:rsidRPr="000D4EF7">
        <w:rPr>
          <w:spacing w:val="-18"/>
        </w:rPr>
        <w:t xml:space="preserve"> </w:t>
      </w:r>
      <w:r w:rsidRPr="000D4EF7">
        <w:rPr>
          <w:spacing w:val="-3"/>
        </w:rPr>
        <w:t>release</w:t>
      </w:r>
      <w:r w:rsidRPr="000D4EF7">
        <w:rPr>
          <w:spacing w:val="-16"/>
        </w:rPr>
        <w:t xml:space="preserve"> </w:t>
      </w:r>
      <w:r w:rsidRPr="000D4EF7">
        <w:rPr>
          <w:spacing w:val="-3"/>
        </w:rPr>
        <w:t>and</w:t>
      </w:r>
      <w:r w:rsidRPr="000D4EF7">
        <w:rPr>
          <w:spacing w:val="-14"/>
        </w:rPr>
        <w:t xml:space="preserve"> </w:t>
      </w:r>
      <w:r w:rsidRPr="000D4EF7">
        <w:rPr>
          <w:spacing w:val="-4"/>
        </w:rPr>
        <w:t>implementation</w:t>
      </w:r>
      <w:r w:rsidRPr="000D4EF7">
        <w:rPr>
          <w:spacing w:val="-16"/>
        </w:rPr>
        <w:t xml:space="preserve"> </w:t>
      </w:r>
      <w:r w:rsidRPr="000D4EF7">
        <w:rPr>
          <w:spacing w:val="-3"/>
        </w:rPr>
        <w:t>of</w:t>
      </w:r>
      <w:r w:rsidRPr="000D4EF7">
        <w:rPr>
          <w:spacing w:val="-14"/>
        </w:rPr>
        <w:t xml:space="preserve"> </w:t>
      </w:r>
      <w:r w:rsidRPr="000D4EF7">
        <w:rPr>
          <w:spacing w:val="-3"/>
        </w:rPr>
        <w:t>the</w:t>
      </w:r>
      <w:r w:rsidRPr="000D4EF7">
        <w:rPr>
          <w:spacing w:val="-19"/>
        </w:rPr>
        <w:t xml:space="preserve"> </w:t>
      </w:r>
      <w:r w:rsidRPr="000D4EF7">
        <w:rPr>
          <w:i/>
          <w:spacing w:val="-4"/>
        </w:rPr>
        <w:t>Queensland</w:t>
      </w:r>
      <w:r>
        <w:rPr>
          <w:i/>
          <w:spacing w:val="-4"/>
        </w:rPr>
        <w:t>’s</w:t>
      </w:r>
      <w:r w:rsidRPr="000D4EF7">
        <w:rPr>
          <w:i/>
          <w:spacing w:val="-16"/>
        </w:rPr>
        <w:t xml:space="preserve"> </w:t>
      </w:r>
      <w:r w:rsidRPr="000D4EF7">
        <w:rPr>
          <w:i/>
          <w:spacing w:val="-4"/>
        </w:rPr>
        <w:t>Protected</w:t>
      </w:r>
      <w:r w:rsidRPr="000D4EF7">
        <w:rPr>
          <w:i/>
          <w:spacing w:val="-14"/>
        </w:rPr>
        <w:t xml:space="preserve"> </w:t>
      </w:r>
      <w:r w:rsidRPr="000D4EF7">
        <w:rPr>
          <w:i/>
          <w:spacing w:val="-3"/>
        </w:rPr>
        <w:t>Area</w:t>
      </w:r>
      <w:r w:rsidRPr="000D4EF7">
        <w:rPr>
          <w:i/>
          <w:spacing w:val="-16"/>
        </w:rPr>
        <w:t xml:space="preserve"> </w:t>
      </w:r>
      <w:r w:rsidRPr="000D4EF7">
        <w:rPr>
          <w:i/>
          <w:spacing w:val="-4"/>
        </w:rPr>
        <w:t xml:space="preserve">Strategy 2020-2030: Protecting </w:t>
      </w:r>
      <w:r w:rsidRPr="000D4EF7">
        <w:rPr>
          <w:i/>
          <w:spacing w:val="-3"/>
        </w:rPr>
        <w:t xml:space="preserve">our </w:t>
      </w:r>
      <w:r w:rsidRPr="000D4EF7">
        <w:rPr>
          <w:i/>
          <w:spacing w:val="-4"/>
        </w:rPr>
        <w:t xml:space="preserve">world-class natural </w:t>
      </w:r>
      <w:r w:rsidRPr="000D4EF7">
        <w:rPr>
          <w:i/>
          <w:spacing w:val="-3"/>
        </w:rPr>
        <w:t>and cultural</w:t>
      </w:r>
      <w:r w:rsidRPr="000D4EF7">
        <w:rPr>
          <w:i/>
          <w:spacing w:val="-19"/>
        </w:rPr>
        <w:t xml:space="preserve"> </w:t>
      </w:r>
      <w:r w:rsidRPr="000D4EF7">
        <w:rPr>
          <w:i/>
          <w:spacing w:val="-4"/>
        </w:rPr>
        <w:t>values.</w:t>
      </w:r>
    </w:p>
    <w:p w14:paraId="7F4B3919" w14:textId="6E1292FB" w:rsidR="00380464" w:rsidRPr="000D4EF7" w:rsidRDefault="00380464" w:rsidP="0080446B">
      <w:pPr>
        <w:pStyle w:val="ListParagraph"/>
        <w:numPr>
          <w:ilvl w:val="0"/>
          <w:numId w:val="1"/>
        </w:numPr>
        <w:tabs>
          <w:tab w:val="left" w:pos="567"/>
        </w:tabs>
        <w:spacing w:before="360"/>
        <w:ind w:left="567" w:right="6" w:hanging="567"/>
        <w:rPr>
          <w:i/>
        </w:rPr>
      </w:pPr>
      <w:r w:rsidRPr="000D4EF7">
        <w:rPr>
          <w:i/>
          <w:u w:val="single"/>
        </w:rPr>
        <w:t>Attachments</w:t>
      </w:r>
    </w:p>
    <w:p w14:paraId="089F1DF4" w14:textId="0067ADA9" w:rsidR="00BD5022" w:rsidRPr="00FB4319" w:rsidRDefault="00624F49" w:rsidP="0080446B">
      <w:pPr>
        <w:pStyle w:val="ListParagraph"/>
        <w:numPr>
          <w:ilvl w:val="1"/>
          <w:numId w:val="1"/>
        </w:numPr>
        <w:tabs>
          <w:tab w:val="left" w:pos="892"/>
        </w:tabs>
        <w:spacing w:before="120"/>
        <w:ind w:right="6" w:hanging="323"/>
        <w:jc w:val="left"/>
        <w:rPr>
          <w:iCs/>
        </w:rPr>
      </w:pPr>
      <w:hyperlink r:id="rId10" w:history="1">
        <w:r w:rsidR="00380464" w:rsidRPr="000A3B8F">
          <w:rPr>
            <w:rStyle w:val="Hyperlink"/>
            <w:iCs/>
          </w:rPr>
          <w:t>Queensland Protected Area Strategy 2020 – 2030: Protecting our world-class natural and cultural</w:t>
        </w:r>
        <w:r w:rsidR="00380464" w:rsidRPr="000A3B8F">
          <w:rPr>
            <w:rStyle w:val="Hyperlink"/>
            <w:iCs/>
            <w:spacing w:val="-4"/>
          </w:rPr>
          <w:t xml:space="preserve"> </w:t>
        </w:r>
        <w:r w:rsidR="00380464" w:rsidRPr="000A3B8F">
          <w:rPr>
            <w:rStyle w:val="Hyperlink"/>
            <w:iCs/>
          </w:rPr>
          <w:t>values</w:t>
        </w:r>
      </w:hyperlink>
    </w:p>
    <w:sectPr w:rsidR="00BD5022" w:rsidRPr="00FB4319" w:rsidSect="002E289A">
      <w:headerReference w:type="default" r:id="rId11"/>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A3FF" w14:textId="77777777" w:rsidR="00FA5A7A" w:rsidRDefault="00FA5A7A" w:rsidP="00F37B2C">
      <w:r>
        <w:separator/>
      </w:r>
    </w:p>
  </w:endnote>
  <w:endnote w:type="continuationSeparator" w:id="0">
    <w:p w14:paraId="1335232F" w14:textId="77777777" w:rsidR="00FA5A7A" w:rsidRDefault="00FA5A7A" w:rsidP="00F3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299A" w14:textId="77777777" w:rsidR="00FA5A7A" w:rsidRDefault="00FA5A7A" w:rsidP="00F37B2C">
      <w:r>
        <w:separator/>
      </w:r>
    </w:p>
  </w:footnote>
  <w:footnote w:type="continuationSeparator" w:id="0">
    <w:p w14:paraId="1E0FE4B5" w14:textId="77777777" w:rsidR="00FA5A7A" w:rsidRDefault="00FA5A7A" w:rsidP="00F3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77BC" w14:textId="77777777" w:rsidR="00F37B2C" w:rsidRPr="00937A4A" w:rsidRDefault="00F37B2C" w:rsidP="00F37B2C">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233C2A6F" w14:textId="77777777" w:rsidR="00F37B2C" w:rsidRPr="00937A4A" w:rsidRDefault="00F37B2C" w:rsidP="00F37B2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5634B492" w14:textId="1D2FD53B" w:rsidR="00F37B2C" w:rsidRPr="00937A4A" w:rsidRDefault="00F37B2C" w:rsidP="00F37B2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sidR="002E289A">
      <w:rPr>
        <w:b/>
        <w:lang w:eastAsia="en-US"/>
      </w:rPr>
      <w:t>September 2020</w:t>
    </w:r>
  </w:p>
  <w:p w14:paraId="3F00337C" w14:textId="7597B3F5" w:rsidR="00F37B2C" w:rsidRDefault="002E289A" w:rsidP="00F37B2C">
    <w:pPr>
      <w:pStyle w:val="Header"/>
      <w:spacing w:before="120"/>
      <w:rPr>
        <w:b/>
        <w:u w:val="single"/>
      </w:rPr>
    </w:pPr>
    <w:r>
      <w:rPr>
        <w:b/>
        <w:u w:val="single"/>
      </w:rPr>
      <w:t>Queensland Protected Area Strategy 2020-2030: Protecting our world-class natural and cultural values</w:t>
    </w:r>
  </w:p>
  <w:p w14:paraId="05C3EBD9" w14:textId="1A83384B" w:rsidR="00F37B2C" w:rsidRDefault="00F37B2C" w:rsidP="00F37B2C">
    <w:pPr>
      <w:pStyle w:val="Header"/>
      <w:spacing w:before="120"/>
      <w:rPr>
        <w:b/>
        <w:u w:val="single"/>
      </w:rPr>
    </w:pPr>
    <w:r>
      <w:rPr>
        <w:b/>
        <w:u w:val="single"/>
      </w:rPr>
      <w:t>Minister</w:t>
    </w:r>
    <w:r w:rsidR="002E289A">
      <w:rPr>
        <w:b/>
        <w:u w:val="single"/>
      </w:rPr>
      <w:t xml:space="preserve"> for Environment and the Great Barrier Reef, Minister for Science and Minister for the Arts</w:t>
    </w:r>
  </w:p>
  <w:p w14:paraId="483BA877" w14:textId="77777777" w:rsidR="00F37B2C" w:rsidRDefault="00F37B2C" w:rsidP="00F37B2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429C9"/>
    <w:multiLevelType w:val="hybridMultilevel"/>
    <w:tmpl w:val="24DC8CE4"/>
    <w:lvl w:ilvl="0" w:tplc="964A294C">
      <w:start w:val="1"/>
      <w:numFmt w:val="decimal"/>
      <w:lvlText w:val="%1."/>
      <w:lvlJc w:val="left"/>
      <w:pPr>
        <w:ind w:left="684" w:hanging="360"/>
      </w:pPr>
      <w:rPr>
        <w:rFonts w:ascii="Arial" w:eastAsia="Arial" w:hAnsi="Arial" w:cs="Arial" w:hint="default"/>
        <w:i w:val="0"/>
        <w:iCs/>
        <w:spacing w:val="-3"/>
        <w:w w:val="100"/>
        <w:sz w:val="22"/>
        <w:szCs w:val="22"/>
        <w:lang w:val="en-AU" w:eastAsia="en-AU" w:bidi="en-AU"/>
      </w:rPr>
    </w:lvl>
    <w:lvl w:ilvl="1" w:tplc="851292AC">
      <w:numFmt w:val="bullet"/>
      <w:lvlText w:val=""/>
      <w:lvlJc w:val="left"/>
      <w:pPr>
        <w:ind w:left="890" w:hanging="209"/>
      </w:pPr>
      <w:rPr>
        <w:rFonts w:ascii="Symbol" w:eastAsia="Symbol" w:hAnsi="Symbol" w:cs="Symbol" w:hint="default"/>
        <w:w w:val="100"/>
        <w:sz w:val="23"/>
        <w:szCs w:val="23"/>
        <w:lang w:val="en-AU" w:eastAsia="en-AU" w:bidi="en-AU"/>
      </w:rPr>
    </w:lvl>
    <w:lvl w:ilvl="2" w:tplc="650A86FC">
      <w:numFmt w:val="bullet"/>
      <w:lvlText w:val="•"/>
      <w:lvlJc w:val="left"/>
      <w:pPr>
        <w:ind w:left="1869" w:hanging="209"/>
      </w:pPr>
      <w:rPr>
        <w:rFonts w:hint="default"/>
        <w:lang w:val="en-AU" w:eastAsia="en-AU" w:bidi="en-AU"/>
      </w:rPr>
    </w:lvl>
    <w:lvl w:ilvl="3" w:tplc="FC54EC3A">
      <w:numFmt w:val="bullet"/>
      <w:lvlText w:val="•"/>
      <w:lvlJc w:val="left"/>
      <w:pPr>
        <w:ind w:left="2839" w:hanging="209"/>
      </w:pPr>
      <w:rPr>
        <w:rFonts w:hint="default"/>
        <w:lang w:val="en-AU" w:eastAsia="en-AU" w:bidi="en-AU"/>
      </w:rPr>
    </w:lvl>
    <w:lvl w:ilvl="4" w:tplc="14A20C22">
      <w:numFmt w:val="bullet"/>
      <w:lvlText w:val="•"/>
      <w:lvlJc w:val="left"/>
      <w:pPr>
        <w:ind w:left="3808" w:hanging="209"/>
      </w:pPr>
      <w:rPr>
        <w:rFonts w:hint="default"/>
        <w:lang w:val="en-AU" w:eastAsia="en-AU" w:bidi="en-AU"/>
      </w:rPr>
    </w:lvl>
    <w:lvl w:ilvl="5" w:tplc="C0D8BC9A">
      <w:numFmt w:val="bullet"/>
      <w:lvlText w:val="•"/>
      <w:lvlJc w:val="left"/>
      <w:pPr>
        <w:ind w:left="4778" w:hanging="209"/>
      </w:pPr>
      <w:rPr>
        <w:rFonts w:hint="default"/>
        <w:lang w:val="en-AU" w:eastAsia="en-AU" w:bidi="en-AU"/>
      </w:rPr>
    </w:lvl>
    <w:lvl w:ilvl="6" w:tplc="18141A2C">
      <w:numFmt w:val="bullet"/>
      <w:lvlText w:val="•"/>
      <w:lvlJc w:val="left"/>
      <w:pPr>
        <w:ind w:left="5748" w:hanging="209"/>
      </w:pPr>
      <w:rPr>
        <w:rFonts w:hint="default"/>
        <w:lang w:val="en-AU" w:eastAsia="en-AU" w:bidi="en-AU"/>
      </w:rPr>
    </w:lvl>
    <w:lvl w:ilvl="7" w:tplc="8DDCC938">
      <w:numFmt w:val="bullet"/>
      <w:lvlText w:val="•"/>
      <w:lvlJc w:val="left"/>
      <w:pPr>
        <w:ind w:left="6717" w:hanging="209"/>
      </w:pPr>
      <w:rPr>
        <w:rFonts w:hint="default"/>
        <w:lang w:val="en-AU" w:eastAsia="en-AU" w:bidi="en-AU"/>
      </w:rPr>
    </w:lvl>
    <w:lvl w:ilvl="8" w:tplc="255A3BFE">
      <w:numFmt w:val="bullet"/>
      <w:lvlText w:val="•"/>
      <w:lvlJc w:val="left"/>
      <w:pPr>
        <w:ind w:left="7687" w:hanging="209"/>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64"/>
    <w:rsid w:val="000A3B8F"/>
    <w:rsid w:val="00244B31"/>
    <w:rsid w:val="002E289A"/>
    <w:rsid w:val="00332CF3"/>
    <w:rsid w:val="00380464"/>
    <w:rsid w:val="004B10B9"/>
    <w:rsid w:val="00595424"/>
    <w:rsid w:val="00624F49"/>
    <w:rsid w:val="0080446B"/>
    <w:rsid w:val="00BD5022"/>
    <w:rsid w:val="00CA1E2B"/>
    <w:rsid w:val="00F37B2C"/>
    <w:rsid w:val="00FA5A7A"/>
    <w:rsid w:val="00FB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F5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64"/>
    <w:pPr>
      <w:widowControl w:val="0"/>
      <w:autoSpaceDE w:val="0"/>
      <w:autoSpaceDN w:val="0"/>
      <w:spacing w:after="0" w:line="240" w:lineRule="auto"/>
    </w:pPr>
    <w:rPr>
      <w:rFonts w:ascii="Arial" w:eastAsia="Arial" w:hAnsi="Arial" w:cs="Arial"/>
      <w:lang w:eastAsia="en-AU" w:bidi="en-AU"/>
    </w:rPr>
  </w:style>
  <w:style w:type="paragraph" w:styleId="Heading1">
    <w:name w:val="heading 1"/>
    <w:basedOn w:val="Normal"/>
    <w:link w:val="Heading1Char"/>
    <w:uiPriority w:val="9"/>
    <w:qFormat/>
    <w:rsid w:val="00380464"/>
    <w:pPr>
      <w:spacing w:before="91"/>
      <w:ind w:left="324" w:right="642"/>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464"/>
    <w:rPr>
      <w:rFonts w:ascii="Arial" w:eastAsia="Arial" w:hAnsi="Arial" w:cs="Arial"/>
      <w:b/>
      <w:bCs/>
      <w:u w:val="single" w:color="000000"/>
      <w:lang w:eastAsia="en-AU" w:bidi="en-AU"/>
    </w:rPr>
  </w:style>
  <w:style w:type="paragraph" w:styleId="BodyText">
    <w:name w:val="Body Text"/>
    <w:basedOn w:val="Normal"/>
    <w:link w:val="BodyTextChar"/>
    <w:uiPriority w:val="1"/>
    <w:qFormat/>
    <w:rsid w:val="00380464"/>
  </w:style>
  <w:style w:type="character" w:customStyle="1" w:styleId="BodyTextChar">
    <w:name w:val="Body Text Char"/>
    <w:basedOn w:val="DefaultParagraphFont"/>
    <w:link w:val="BodyText"/>
    <w:uiPriority w:val="1"/>
    <w:rsid w:val="00380464"/>
    <w:rPr>
      <w:rFonts w:ascii="Arial" w:eastAsia="Arial" w:hAnsi="Arial" w:cs="Arial"/>
      <w:lang w:eastAsia="en-AU" w:bidi="en-AU"/>
    </w:rPr>
  </w:style>
  <w:style w:type="paragraph" w:styleId="ListParagraph">
    <w:name w:val="List Paragraph"/>
    <w:basedOn w:val="Normal"/>
    <w:uiPriority w:val="34"/>
    <w:qFormat/>
    <w:rsid w:val="00380464"/>
    <w:pPr>
      <w:ind w:left="682" w:right="223" w:hanging="358"/>
      <w:jc w:val="both"/>
    </w:pPr>
  </w:style>
  <w:style w:type="paragraph" w:styleId="BalloonText">
    <w:name w:val="Balloon Text"/>
    <w:basedOn w:val="Normal"/>
    <w:link w:val="BalloonTextChar"/>
    <w:uiPriority w:val="99"/>
    <w:semiHidden/>
    <w:unhideWhenUsed/>
    <w:rsid w:val="00595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424"/>
    <w:rPr>
      <w:rFonts w:ascii="Segoe UI" w:eastAsia="Arial" w:hAnsi="Segoe UI" w:cs="Segoe UI"/>
      <w:sz w:val="18"/>
      <w:szCs w:val="18"/>
      <w:lang w:eastAsia="en-AU" w:bidi="en-AU"/>
    </w:rPr>
  </w:style>
  <w:style w:type="character" w:styleId="Hyperlink">
    <w:name w:val="Hyperlink"/>
    <w:basedOn w:val="DefaultParagraphFont"/>
    <w:uiPriority w:val="99"/>
    <w:unhideWhenUsed/>
    <w:rsid w:val="00595424"/>
    <w:rPr>
      <w:color w:val="0563C1" w:themeColor="hyperlink"/>
      <w:u w:val="single"/>
    </w:rPr>
  </w:style>
  <w:style w:type="character" w:styleId="UnresolvedMention">
    <w:name w:val="Unresolved Mention"/>
    <w:basedOn w:val="DefaultParagraphFont"/>
    <w:uiPriority w:val="99"/>
    <w:semiHidden/>
    <w:unhideWhenUsed/>
    <w:rsid w:val="00595424"/>
    <w:rPr>
      <w:color w:val="605E5C"/>
      <w:shd w:val="clear" w:color="auto" w:fill="E1DFDD"/>
    </w:rPr>
  </w:style>
  <w:style w:type="character" w:styleId="FollowedHyperlink">
    <w:name w:val="FollowedHyperlink"/>
    <w:basedOn w:val="DefaultParagraphFont"/>
    <w:uiPriority w:val="99"/>
    <w:semiHidden/>
    <w:unhideWhenUsed/>
    <w:rsid w:val="00595424"/>
    <w:rPr>
      <w:color w:val="954F72" w:themeColor="followedHyperlink"/>
      <w:u w:val="single"/>
    </w:rPr>
  </w:style>
  <w:style w:type="paragraph" w:styleId="Header">
    <w:name w:val="header"/>
    <w:basedOn w:val="Normal"/>
    <w:link w:val="HeaderChar"/>
    <w:uiPriority w:val="99"/>
    <w:unhideWhenUsed/>
    <w:rsid w:val="00F37B2C"/>
    <w:pPr>
      <w:tabs>
        <w:tab w:val="center" w:pos="4680"/>
        <w:tab w:val="right" w:pos="9360"/>
      </w:tabs>
    </w:pPr>
  </w:style>
  <w:style w:type="character" w:customStyle="1" w:styleId="HeaderChar">
    <w:name w:val="Header Char"/>
    <w:basedOn w:val="DefaultParagraphFont"/>
    <w:link w:val="Header"/>
    <w:uiPriority w:val="99"/>
    <w:rsid w:val="00F37B2C"/>
    <w:rPr>
      <w:rFonts w:ascii="Arial" w:eastAsia="Arial" w:hAnsi="Arial" w:cs="Arial"/>
      <w:lang w:eastAsia="en-AU" w:bidi="en-AU"/>
    </w:rPr>
  </w:style>
  <w:style w:type="paragraph" w:styleId="Footer">
    <w:name w:val="footer"/>
    <w:basedOn w:val="Normal"/>
    <w:link w:val="FooterChar"/>
    <w:uiPriority w:val="99"/>
    <w:unhideWhenUsed/>
    <w:rsid w:val="00F37B2C"/>
    <w:pPr>
      <w:tabs>
        <w:tab w:val="center" w:pos="4680"/>
        <w:tab w:val="right" w:pos="9360"/>
      </w:tabs>
    </w:pPr>
  </w:style>
  <w:style w:type="character" w:customStyle="1" w:styleId="FooterChar">
    <w:name w:val="Footer Char"/>
    <w:basedOn w:val="DefaultParagraphFont"/>
    <w:link w:val="Footer"/>
    <w:uiPriority w:val="99"/>
    <w:rsid w:val="00F37B2C"/>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Strategy.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35058-D097-47FA-AEAA-52757F9D9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5C77D-6DB4-4B37-9725-F73F986DDF1C}">
  <ds:schemaRefs>
    <ds:schemaRef ds:uri="http://schemas.microsoft.com/sharepoint/v3/contenttype/forms"/>
  </ds:schemaRefs>
</ds:datastoreItem>
</file>

<file path=customXml/itemProps3.xml><?xml version="1.0" encoding="utf-8"?>
<ds:datastoreItem xmlns:ds="http://schemas.openxmlformats.org/officeDocument/2006/customXml" ds:itemID="{56B68611-253B-40F6-AC3A-1B8643176B4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3e311de-a790-43ff-be63-577c26c7507c"/>
    <ds:schemaRef ds:uri="b8ed82f2-f7bd-423c-8698-5e132afe92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268</Words>
  <Characters>1637</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Base>https://www.cabinet.qld.gov.au/documents/2020/Sep/QPAS/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dcterms:created xsi:type="dcterms:W3CDTF">2020-11-23T03:49:00Z</dcterms:created>
  <dcterms:modified xsi:type="dcterms:W3CDTF">2021-04-22T06:22:00Z</dcterms:modified>
  <cp:category>Environmental_Protection,National_Parks,Heritage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